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Style w:val="836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  <w:t xml:space="preserve">Св</w:t>
      </w:r>
      <w:r>
        <w:rPr>
          <w:b/>
          <w:color w:val="000000" w:themeColor="text1"/>
          <w:sz w:val="28"/>
          <w:szCs w:val="28"/>
          <w:u w:val="none"/>
        </w:rPr>
        <w:t xml:space="preserve">оевременное и качественное размещение информации государственными и муниципальными учреждениями на официальном сайте в сети Интернет </w:t>
      </w:r>
      <w:hyperlink r:id="rId9" w:tooltip="http://www.bus.gov.ru" w:history="1">
        <w:r>
          <w:rPr>
            <w:rStyle w:val="836"/>
            <w:b/>
            <w:color w:val="000000" w:themeColor="text1"/>
            <w:sz w:val="28"/>
            <w:szCs w:val="28"/>
          </w:rPr>
          <w:t xml:space="preserve">www.bus.gov.ru</w:t>
        </w:r>
      </w:hyperlink>
      <w:r>
        <w:rPr>
          <w:rStyle w:val="836"/>
          <w:b/>
          <w:color w:val="000000" w:themeColor="text1"/>
          <w:sz w:val="28"/>
          <w:szCs w:val="28"/>
        </w:rPr>
      </w:r>
      <w:r>
        <w:rPr>
          <w:rStyle w:val="836"/>
          <w:b/>
          <w:color w:val="000000" w:themeColor="text1"/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приказом Федерального казначейства от 23.03.2023 № 98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«О утверждении Требований к проведению сверки информации о государственных и муниципальных учреждениях, размещенной на официальном сайте в сети «Интернет» </w:t>
      </w:r>
      <w:hyperlink r:id="rId10" w:tooltip="http://www.bus.gov.ru" w:history="1">
        <w:r>
          <w:rPr>
            <w:rStyle w:val="836"/>
            <w:color w:val="auto"/>
            <w:sz w:val="28"/>
            <w:szCs w:val="28"/>
            <w:lang w:val="en-US"/>
          </w:rPr>
          <w:t xml:space="preserve">www</w:t>
        </w:r>
        <w:r>
          <w:rPr>
            <w:rStyle w:val="836"/>
            <w:color w:val="auto"/>
            <w:sz w:val="28"/>
            <w:szCs w:val="28"/>
          </w:rPr>
          <w:t xml:space="preserve">.</w:t>
        </w:r>
        <w:r>
          <w:rPr>
            <w:rStyle w:val="836"/>
            <w:color w:val="auto"/>
            <w:sz w:val="28"/>
            <w:szCs w:val="28"/>
            <w:lang w:val="en-US"/>
          </w:rPr>
          <w:t xml:space="preserve">bus</w:t>
        </w:r>
        <w:r>
          <w:rPr>
            <w:rStyle w:val="836"/>
            <w:color w:val="auto"/>
            <w:sz w:val="28"/>
            <w:szCs w:val="28"/>
          </w:rPr>
          <w:t xml:space="preserve">.</w:t>
        </w:r>
        <w:r>
          <w:rPr>
            <w:rStyle w:val="836"/>
            <w:color w:val="auto"/>
            <w:sz w:val="28"/>
            <w:szCs w:val="28"/>
            <w:lang w:val="en-US"/>
          </w:rPr>
          <w:t xml:space="preserve">gov</w:t>
        </w:r>
        <w:r>
          <w:rPr>
            <w:rStyle w:val="836"/>
            <w:color w:val="auto"/>
            <w:sz w:val="28"/>
            <w:szCs w:val="28"/>
          </w:rPr>
          <w:t xml:space="preserve">.</w:t>
        </w:r>
        <w:r>
          <w:rPr>
            <w:rStyle w:val="836"/>
            <w:color w:val="auto"/>
            <w:sz w:val="28"/>
            <w:szCs w:val="28"/>
            <w:lang w:val="en-US"/>
          </w:rPr>
          <w:t xml:space="preserve">ru</w:t>
        </w:r>
      </w:hyperlink>
      <w:r>
        <w:rPr>
          <w:sz w:val="28"/>
          <w:szCs w:val="28"/>
        </w:rPr>
        <w:t xml:space="preserve">, и анализа ее результатов» Управлением Федерального казначей</w:t>
      </w:r>
      <w:r>
        <w:rPr>
          <w:sz w:val="28"/>
          <w:szCs w:val="28"/>
        </w:rPr>
        <w:t xml:space="preserve">ства по Тюменской области в 2025 г.</w:t>
      </w:r>
      <w:r>
        <w:rPr>
          <w:sz w:val="28"/>
          <w:szCs w:val="28"/>
        </w:rPr>
        <w:t xml:space="preserve"> была продолжена работа по сверке информации о государственных и муниципаль</w:t>
      </w:r>
      <w:r>
        <w:rPr>
          <w:sz w:val="28"/>
          <w:szCs w:val="28"/>
        </w:rPr>
        <w:t xml:space="preserve">ных </w:t>
      </w:r>
      <w:r>
        <w:rPr>
          <w:sz w:val="28"/>
          <w:szCs w:val="28"/>
        </w:rPr>
        <w:t xml:space="preserve">учреждениях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01.01.2026</w:t>
      </w:r>
      <w:r>
        <w:rPr>
          <w:sz w:val="28"/>
          <w:szCs w:val="28"/>
        </w:rPr>
        <w:t xml:space="preserve"> общее количество учреждений, подлежащих мониторингу, составило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626</w:t>
      </w:r>
      <w:r>
        <w:rPr>
          <w:sz w:val="28"/>
          <w:szCs w:val="28"/>
        </w:rPr>
        <w:t xml:space="preserve">, в том числе: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– 38</w:t>
      </w:r>
      <w:r>
        <w:rPr>
          <w:color w:val="000000" w:themeColor="text1"/>
          <w:sz w:val="28"/>
          <w:szCs w:val="28"/>
        </w:rPr>
        <w:t xml:space="preserve"> – федерального уровня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 </w:t>
      </w:r>
      <w:r>
        <w:rPr>
          <w:color w:val="000000" w:themeColor="text1"/>
          <w:sz w:val="28"/>
          <w:szCs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– </w:t>
      </w:r>
      <w:r>
        <w:rPr>
          <w:color w:val="000000" w:themeColor="text1"/>
          <w:sz w:val="28"/>
          <w:szCs w:val="28"/>
        </w:rPr>
        <w:t xml:space="preserve">бюджета ф</w:t>
      </w:r>
      <w:r>
        <w:rPr>
          <w:color w:val="000000" w:themeColor="text1"/>
          <w:sz w:val="28"/>
          <w:szCs w:val="28"/>
        </w:rPr>
        <w:t xml:space="preserve">онда </w:t>
      </w:r>
      <w:r>
        <w:rPr>
          <w:color w:val="000000"/>
          <w:sz w:val="28"/>
          <w:szCs w:val="28"/>
        </w:rPr>
        <w:t xml:space="preserve">пенсионного и социального страхования Российской Федерации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 148 – регионального уровня;</w:t>
      </w:r>
      <w:bookmarkStart w:id="0" w:name="_GoBack"/>
      <w:r/>
      <w:bookmarkEnd w:id="0"/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 439 – муниципального уровня.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структуре учреждений наибольший удельный вес занимают автономные учреждения - 78 % (491 ед.), 12 % составляют казенные учреждения (75 ед.), на долю бюджетных учреждений приходится –10 % (60 ед.</w:t>
      </w:r>
      <w:r>
        <w:rPr>
          <w:sz w:val="28"/>
          <w:szCs w:val="28"/>
        </w:rPr>
        <w:t xml:space="preserve">)</w:t>
      </w:r>
      <w:r>
        <w:rPr>
          <w:b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По состоянию на 1 января 2026</w:t>
      </w:r>
      <w:r>
        <w:rPr>
          <w:sz w:val="28"/>
          <w:szCs w:val="28"/>
        </w:rPr>
        <w:t xml:space="preserve"> года п</w:t>
      </w:r>
      <w:r>
        <w:rPr>
          <w:color w:val="000000" w:themeColor="text1"/>
          <w:sz w:val="28"/>
          <w:szCs w:val="28"/>
        </w:rPr>
        <w:t xml:space="preserve">олнота размещения информации</w:t>
      </w:r>
      <w:r>
        <w:rPr>
          <w:color w:val="000000" w:themeColor="text1"/>
          <w:sz w:val="28"/>
          <w:szCs w:val="28"/>
        </w:rPr>
        <w:t xml:space="preserve"> составила: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за 2024 год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-плановых показателей -100%, фактических - 99,84%;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60" w:lineRule="auto"/>
        <w:rPr>
          <w:color w:val="000000" w:themeColor="text1"/>
          <w:sz w:val="28"/>
          <w:szCs w:val="28"/>
          <w:highlight w:val="cyan"/>
        </w:rPr>
      </w:pPr>
      <w:r>
        <w:rPr>
          <w:color w:val="000000" w:themeColor="text1"/>
          <w:sz w:val="28"/>
          <w:szCs w:val="28"/>
        </w:rPr>
        <w:t xml:space="preserve">- за 2025 год – плановых - 99,84%.</w:t>
      </w:r>
      <w:r>
        <w:rPr>
          <w:color w:val="000000" w:themeColor="text1"/>
          <w:sz w:val="28"/>
          <w:szCs w:val="28"/>
          <w:highlight w:val="cyan"/>
        </w:rPr>
      </w:r>
      <w:r>
        <w:rPr>
          <w:color w:val="000000" w:themeColor="text1"/>
          <w:sz w:val="28"/>
          <w:szCs w:val="28"/>
          <w:highlight w:val="cyan"/>
        </w:rPr>
      </w:r>
    </w:p>
    <w:p>
      <w:pPr>
        <w:pStyle w:val="834"/>
        <w:ind w:left="0" w:firstLine="567"/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Управлением Федерального казначейства по Тюменской области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ведется</w:t>
      </w:r>
      <w:r>
        <w:rPr>
          <w:color w:val="000000" w:themeColor="text1"/>
          <w:sz w:val="28"/>
          <w:szCs w:val="28"/>
        </w:rPr>
        <w:t xml:space="preserve"> систематическая работа с государственными (муниципальными) учреждениями и их учредителями по обеспечению наполняемости, своевременности и качества размещаемо</w:t>
      </w:r>
      <w:r>
        <w:rPr>
          <w:color w:val="000000" w:themeColor="text1"/>
          <w:sz w:val="28"/>
          <w:szCs w:val="28"/>
        </w:rPr>
        <w:t xml:space="preserve">й информации, которая обеспечивает</w:t>
      </w:r>
      <w:r>
        <w:rPr>
          <w:color w:val="000000" w:themeColor="text1"/>
          <w:sz w:val="28"/>
          <w:szCs w:val="28"/>
        </w:rPr>
        <w:t xml:space="preserve"> открытость </w:t>
      </w:r>
      <w:r>
        <w:rPr>
          <w:color w:val="000000" w:themeColor="text1"/>
          <w:sz w:val="28"/>
          <w:szCs w:val="28"/>
        </w:rPr>
        <w:t xml:space="preserve">деятельности </w:t>
      </w:r>
      <w:r>
        <w:rPr>
          <w:color w:val="000000" w:themeColor="text1"/>
          <w:sz w:val="28"/>
          <w:szCs w:val="28"/>
        </w:rPr>
        <w:t xml:space="preserve">учреждений </w:t>
      </w:r>
      <w:r>
        <w:rPr>
          <w:color w:val="000000" w:themeColor="text1"/>
          <w:sz w:val="28"/>
          <w:szCs w:val="28"/>
        </w:rPr>
        <w:t xml:space="preserve">перед потребителями услуг.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eastAsia="Calibri"/>
          <w:color w:val="000000" w:themeColor="text1"/>
          <w:sz w:val="28"/>
          <w:szCs w:val="28"/>
          <w:lang w:eastAsia="ar-SA"/>
        </w:rPr>
      </w:pPr>
      <w:r>
        <w:rPr>
          <w:rFonts w:eastAsia="Calibri"/>
          <w:color w:val="000000" w:themeColor="text1"/>
          <w:sz w:val="28"/>
          <w:szCs w:val="28"/>
          <w:lang w:eastAsia="ar-SA"/>
        </w:rPr>
      </w:r>
      <w:r>
        <w:rPr>
          <w:rFonts w:eastAsia="Calibri"/>
          <w:color w:val="000000" w:themeColor="text1"/>
          <w:sz w:val="28"/>
          <w:szCs w:val="28"/>
          <w:lang w:eastAsia="ar-SA"/>
        </w:rPr>
      </w:r>
      <w:r>
        <w:rPr>
          <w:rFonts w:eastAsia="Calibri"/>
          <w:color w:val="000000" w:themeColor="text1"/>
          <w:sz w:val="28"/>
          <w:szCs w:val="28"/>
          <w:lang w:eastAsia="ar-SA"/>
        </w:rPr>
      </w:r>
    </w:p>
    <w:p>
      <w:pPr>
        <w:pStyle w:val="834"/>
        <w:ind w:left="0"/>
        <w:jc w:val="both"/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Отдел бюджетного учета и отчетности по операциям бюджетов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34"/>
        <w:ind w:left="0"/>
        <w:jc w:val="both"/>
        <w:spacing w:line="360" w:lineRule="auto"/>
      </w:pPr>
      <w:r>
        <w:rPr>
          <w:color w:val="000000" w:themeColor="text1"/>
          <w:sz w:val="28"/>
          <w:szCs w:val="28"/>
        </w:rPr>
        <w:t xml:space="preserve">УФК по Тюменской области</w:t>
      </w:r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0"/>
    <w:next w:val="830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30"/>
    <w:next w:val="830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0"/>
    <w:next w:val="830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0"/>
    <w:next w:val="830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0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30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paragraph" w:styleId="685">
    <w:name w:val="Caption"/>
    <w:basedOn w:val="830"/>
    <w:next w:val="830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831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List Paragraph"/>
    <w:basedOn w:val="830"/>
    <w:link w:val="835"/>
    <w:uiPriority w:val="99"/>
    <w:qFormat/>
    <w:pPr>
      <w:contextualSpacing/>
      <w:ind w:left="720"/>
    </w:pPr>
    <w:rPr>
      <w:rFonts w:eastAsiaTheme="minorHAnsi"/>
    </w:rPr>
  </w:style>
  <w:style w:type="character" w:styleId="835" w:customStyle="1">
    <w:name w:val="Абзац списка Знак"/>
    <w:link w:val="834"/>
    <w:uiPriority w:val="99"/>
    <w:rPr>
      <w:rFonts w:ascii="Times New Roman" w:hAnsi="Times New Roman" w:cs="Times New Roman"/>
      <w:sz w:val="24"/>
      <w:szCs w:val="24"/>
      <w:lang w:eastAsia="ru-RU"/>
    </w:rPr>
  </w:style>
  <w:style w:type="character" w:styleId="836">
    <w:name w:val="Hyperlink"/>
    <w:basedOn w:val="831"/>
    <w:uiPriority w:val="99"/>
    <w:unhideWhenUsed/>
    <w:rPr>
      <w:color w:val="0000ff"/>
      <w:u w:val="single"/>
    </w:rPr>
  </w:style>
  <w:style w:type="paragraph" w:styleId="837">
    <w:name w:val="Balloon Text"/>
    <w:basedOn w:val="830"/>
    <w:link w:val="83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831"/>
    <w:link w:val="837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http://www.bus.gov.ru" TargetMode="External"/><Relationship Id="rId10" Type="http://schemas.openxmlformats.org/officeDocument/2006/relationships/hyperlink" Target="http://www.bus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3EB78-779F-41FB-B571-1A1A73556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67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Хомячук Наталия Анатольевна</dc:creator>
  <cp:keywords/>
  <dc:description/>
  <cp:lastModifiedBy>Хомячук Наталия Анатольевна</cp:lastModifiedBy>
  <cp:revision>86</cp:revision>
  <dcterms:created xsi:type="dcterms:W3CDTF">2025-03-14T06:09:00Z</dcterms:created>
  <dcterms:modified xsi:type="dcterms:W3CDTF">2026-04-08T10:39:12Z</dcterms:modified>
</cp:coreProperties>
</file>